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40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0"/>
          <w:color w:val="187891"/>
          <w:sz w:val="40"/>
          <w:szCs w:val="40"/>
          <w:rtl w:val="0"/>
        </w:rPr>
        <w:t xml:space="preserve">Redundancy - Communication Pack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8863.0" w:type="dxa"/>
        <w:jc w:val="left"/>
        <w:tblInd w:w="-120.0" w:type="dxa"/>
        <w:tblBorders>
          <w:top w:color="f1f0ee" w:space="0" w:sz="6" w:val="single"/>
          <w:bottom w:color="f1f0ee" w:space="0" w:sz="6" w:val="single"/>
          <w:insideH w:color="f1f0ee" w:space="0" w:sz="6" w:val="single"/>
        </w:tblBorders>
        <w:tblLayout w:type="fixed"/>
        <w:tblLook w:val="0400"/>
      </w:tblPr>
      <w:tblGrid>
        <w:gridCol w:w="1420"/>
        <w:gridCol w:w="2779"/>
        <w:gridCol w:w="1634"/>
        <w:gridCol w:w="1444"/>
        <w:gridCol w:w="1586"/>
        <w:tblGridChange w:id="0">
          <w:tblGrid>
            <w:gridCol w:w="1420"/>
            <w:gridCol w:w="2779"/>
            <w:gridCol w:w="1634"/>
            <w:gridCol w:w="1444"/>
            <w:gridCol w:w="1586"/>
          </w:tblGrid>
        </w:tblGridChange>
      </w:tblGrid>
      <w:tr>
        <w:tc>
          <w:tcPr>
            <w:tcBorders>
              <w:top w:color="000000" w:space="0" w:sz="0" w:val="nil"/>
              <w:bottom w:color="999999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81b13a"/>
                <w:sz w:val="20"/>
                <w:szCs w:val="20"/>
                <w:rtl w:val="0"/>
              </w:rPr>
              <w:t xml:space="preserve">Audience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999999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81b13a"/>
                <w:sz w:val="20"/>
                <w:szCs w:val="20"/>
                <w:rtl w:val="0"/>
              </w:rPr>
              <w:t xml:space="preserve">Purpose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999999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81b13a"/>
                <w:sz w:val="20"/>
                <w:szCs w:val="20"/>
                <w:rtl w:val="0"/>
              </w:rPr>
              <w:t xml:space="preserve">Timing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999999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81b13a"/>
                <w:sz w:val="20"/>
                <w:szCs w:val="20"/>
                <w:rtl w:val="0"/>
              </w:rPr>
              <w:t xml:space="preserve">Channel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999999" w:space="0" w:sz="6" w:val="single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4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81b13a"/>
                <w:sz w:val="20"/>
                <w:szCs w:val="20"/>
                <w:rtl w:val="0"/>
              </w:rPr>
              <w:t xml:space="preserve">Responsibility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CEO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Needs to be completely across and approve the proposed actions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ASAP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Discussion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CEO/Board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Exec Team</w:t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Need to be completely across issues and determine / outline the proposed actions.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Needs to be across legal obligations.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 level of confidentiality is expected from the Exec Team members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From inception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Phone calls and emails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CEO/HR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Line Managers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Should be advised and consulted at the next appropriate meeting. They would need to discuss and vote on way forward. Confidentiality is important at this point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Next scheduled Management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Management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Exec Team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Affected Casuals &amp; Permanent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Should be invited to a Consultation meeting. Should be walked through a Consultation Pack. Should receive a copy of the pack in writing to review at their leisure. Pack to be completed in advance of this meeting and handed out at the end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ASAP after a decision has been made to more thoroughly explore the outsourcing option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Scheduled 1-2-1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Line Manager + HR (if applicable)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Affected Casuals &amp; Permanent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Should be invited to a Redundancy meeting. Should be offered to bring a support person (prior to the meeting). Should be walked through the Role at Risk of Redundancy letter. Should receive a copy of the Redundancy Pack in writing to review at their leisure. Pack to be completed in advance of this meeting and handed out at the beginning.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After the Consultation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Scheduled 1-2-1 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bookmarkStart w:colFirst="0" w:colLast="0" w:name="h.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Line Manager + HR (if applicable) + support person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Other employees – the wider organisation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 town hall or general meeting could be held to inform the wider organisation about changes </w:t>
            </w:r>
            <w:r w:rsidDel="00000000" w:rsidR="00000000" w:rsidRPr="00000000">
              <w:rPr>
                <w:rFonts w:ascii="Arial" w:cs="Arial" w:eastAsia="Arial" w:hAnsi="Arial"/>
                <w:color w:val="080908"/>
                <w:sz w:val="20"/>
                <w:szCs w:val="20"/>
                <w:rtl w:val="0"/>
              </w:rPr>
              <w:t xml:space="preserve">to a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department/team.</w:t>
            </w:r>
            <w:r w:rsidDel="00000000" w:rsidR="00000000" w:rsidRPr="00000000">
              <w:rPr>
                <w:rFonts w:ascii="Arial" w:cs="Arial" w:eastAsia="Arial" w:hAnsi="Arial"/>
                <w:color w:val="080908"/>
                <w:sz w:val="20"/>
                <w:szCs w:val="20"/>
                <w:rtl w:val="0"/>
              </w:rPr>
              <w:t xml:space="preserve">This may be as part of the obligation to consult depending on the size of the restructure and impact to employees.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After the Redundancy meeting has happened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Meeting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6" w:val="single"/>
              <w:left w:color="000000" w:space="0" w:sz="0" w:val="nil"/>
              <w:bottom w:color="999999" w:space="0" w:sz="6" w:val="single"/>
              <w:right w:color="000000" w:space="0" w:sz="0" w:val="nil"/>
            </w:tcBorders>
            <w:tcMar>
              <w:left w:w="120.0" w:type="dxa"/>
              <w:right w:w="120.0" w:type="dxa"/>
            </w:tcMar>
          </w:tcPr>
          <w:p w:rsidR="00000000" w:rsidDel="00000000" w:rsidP="00000000" w:rsidRDefault="00000000" w:rsidRPr="00000000">
            <w:pPr>
              <w:spacing w:after="120" w:before="24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80908"/>
                <w:sz w:val="20"/>
                <w:szCs w:val="20"/>
                <w:rtl w:val="0"/>
              </w:rPr>
              <w:t xml:space="preserve">CEO/Exec Team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default"/>
      <w:footerReference r:id="rId8" w:type="first"/>
      <w:pgSz w:h="16838" w:w="11906"/>
      <w:pgMar w:bottom="1440" w:top="3085" w:left="1843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8647"/>
      </w:tabs>
      <w:spacing w:after="20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8647"/>
      </w:tabs>
      <w:spacing w:after="1139" w:before="0" w:line="276" w:lineRule="auto"/>
      <w:contextualSpacing w:val="0"/>
    </w:pPr>
    <w:r w:rsidDel="00000000" w:rsidR="00000000" w:rsidRPr="00000000">
      <w:rPr>
        <w:rFonts w:ascii="Arial" w:cs="Arial" w:eastAsia="Arial" w:hAnsi="Arial"/>
        <w:color w:val="7d7f7b"/>
        <w:sz w:val="16"/>
        <w:szCs w:val="16"/>
        <w:rtl w:val="0"/>
      </w:rPr>
      <w:t xml:space="preserve">Redundancy</w:t>
    </w:r>
    <w:r w:rsidDel="00000000" w:rsidR="00000000" w:rsidRPr="00000000">
      <w:rPr>
        <w:rFonts w:ascii="Arial" w:cs="Arial" w:eastAsia="Arial" w:hAnsi="Arial"/>
        <w:b w:val="0"/>
        <w:color w:val="7d7f7b"/>
        <w:sz w:val="16"/>
        <w:szCs w:val="16"/>
        <w:rtl w:val="0"/>
      </w:rPr>
      <w:t xml:space="preserve"> Communication Pack                                   Employee Matters Pty Ltd 2014 ©    </w:t>
      <w:tab/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color w:val="7d7f7b"/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right" w:pos="8647"/>
      </w:tabs>
      <w:spacing w:after="200" w:before="0" w:line="276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right" w:pos="8647"/>
      </w:tabs>
      <w:spacing w:after="1139" w:before="0" w:line="276" w:lineRule="auto"/>
      <w:contextualSpacing w:val="0"/>
    </w:pPr>
    <w:r w:rsidDel="00000000" w:rsidR="00000000" w:rsidRPr="00000000">
      <w:rPr>
        <w:rFonts w:ascii="Arial" w:cs="Arial" w:eastAsia="Arial" w:hAnsi="Arial"/>
        <w:b w:val="0"/>
        <w:color w:val="7d7f7b"/>
        <w:sz w:val="16"/>
        <w:szCs w:val="16"/>
        <w:rtl w:val="0"/>
      </w:rPr>
      <w:t xml:space="preserve">Redundancy Communication Pack                                    Employee Matters Pty Ltd 2014 ©    </w:t>
      <w:tab/>
      <w:t xml:space="preserve">Page </w:t>
    </w:r>
    <w:fldSimple w:instr="PAGE" w:fldLock="0" w:dirty="0">
      <w:r w:rsidDel="00000000" w:rsidR="00000000" w:rsidRPr="00000000">
        <w:rPr>
          <w:rFonts w:ascii="Arial" w:cs="Arial" w:eastAsia="Arial" w:hAnsi="Arial"/>
          <w:b w:val="0"/>
          <w:color w:val="7d7f7b"/>
          <w:sz w:val="16"/>
          <w:szCs w:val="16"/>
        </w:rPr>
      </w:r>
    </w:fldSimple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-1142999</wp:posOffset>
          </wp:positionH>
          <wp:positionV relativeFrom="paragraph">
            <wp:posOffset>-441324</wp:posOffset>
          </wp:positionV>
          <wp:extent cx="3636010" cy="1776730"/>
          <wp:effectExtent b="0" l="0" r="0" t="0"/>
          <wp:wrapSquare wrapText="bothSides" distB="0" distT="0" distL="114300" distR="114300"/>
          <wp:docPr id="1" name="image01.jpg"/>
          <a:graphic>
            <a:graphicData uri="http://schemas.openxmlformats.org/drawingml/2006/picture">
              <pic:pic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36010" cy="17767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76" w:lineRule="auto"/>
    </w:pPr>
    <w:rPr>
      <w:rFonts w:ascii="Calibri" w:cs="Calibri" w:eastAsia="Calibri" w:hAnsi="Calibri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